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2" w:type="dxa"/>
        <w:jc w:val="center"/>
        <w:tblLook w:val="04A0" w:firstRow="1" w:lastRow="0" w:firstColumn="1" w:lastColumn="0" w:noHBand="0" w:noVBand="1"/>
      </w:tblPr>
      <w:tblGrid>
        <w:gridCol w:w="1696"/>
        <w:gridCol w:w="2452"/>
        <w:gridCol w:w="1825"/>
        <w:gridCol w:w="3379"/>
      </w:tblGrid>
      <w:tr w:rsidR="004461E0" w14:paraId="68DC183A" w14:textId="77777777" w:rsidTr="004461E0">
        <w:trPr>
          <w:jc w:val="center"/>
        </w:trPr>
        <w:tc>
          <w:tcPr>
            <w:tcW w:w="1696" w:type="dxa"/>
          </w:tcPr>
          <w:p w14:paraId="330C5703"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7B72D3C5" w14:textId="77777777" w:rsidR="00170159" w:rsidRDefault="00170159" w:rsidP="004461E0"/>
          <w:p w14:paraId="7F3329EB" w14:textId="0863F658" w:rsidR="00170159" w:rsidRDefault="00A27B8D" w:rsidP="004461E0">
            <w:r>
              <w:t>TTM Consulting Pty Ltd</w:t>
            </w:r>
          </w:p>
        </w:tc>
      </w:tr>
      <w:tr w:rsidR="007D34AB" w14:paraId="72424C82" w14:textId="77777777" w:rsidTr="004461E0">
        <w:trPr>
          <w:jc w:val="center"/>
        </w:trPr>
        <w:tc>
          <w:tcPr>
            <w:tcW w:w="1696" w:type="dxa"/>
          </w:tcPr>
          <w:p w14:paraId="5E9A4CA6" w14:textId="77777777" w:rsidR="007D34AB" w:rsidRDefault="007D34AB" w:rsidP="004461E0">
            <w:pPr>
              <w:rPr>
                <w:b/>
              </w:rPr>
            </w:pPr>
            <w:r>
              <w:rPr>
                <w:b/>
              </w:rPr>
              <w:t xml:space="preserve">Contact Name </w:t>
            </w:r>
          </w:p>
          <w:p w14:paraId="607B6581" w14:textId="77777777" w:rsidR="007D34AB" w:rsidRPr="00695562" w:rsidRDefault="007D34AB" w:rsidP="004461E0">
            <w:pPr>
              <w:rPr>
                <w:b/>
              </w:rPr>
            </w:pPr>
          </w:p>
        </w:tc>
        <w:tc>
          <w:tcPr>
            <w:tcW w:w="7656" w:type="dxa"/>
            <w:gridSpan w:val="3"/>
          </w:tcPr>
          <w:p w14:paraId="78F1E099" w14:textId="26A674AB" w:rsidR="007D34AB" w:rsidRDefault="00A27B8D" w:rsidP="004461E0">
            <w:r>
              <w:t>David Barnes</w:t>
            </w:r>
          </w:p>
        </w:tc>
      </w:tr>
      <w:tr w:rsidR="007D34AB" w14:paraId="3745DBA2" w14:textId="77777777" w:rsidTr="007D34AB">
        <w:trPr>
          <w:jc w:val="center"/>
        </w:trPr>
        <w:tc>
          <w:tcPr>
            <w:tcW w:w="1696" w:type="dxa"/>
          </w:tcPr>
          <w:p w14:paraId="747E0C09" w14:textId="77777777" w:rsidR="007D34AB" w:rsidRDefault="007D34AB" w:rsidP="004461E0">
            <w:pPr>
              <w:rPr>
                <w:b/>
              </w:rPr>
            </w:pPr>
            <w:r>
              <w:rPr>
                <w:b/>
              </w:rPr>
              <w:t xml:space="preserve">Contact Phone </w:t>
            </w:r>
          </w:p>
          <w:p w14:paraId="22A0BC5E" w14:textId="77777777" w:rsidR="007D34AB" w:rsidRPr="00695562" w:rsidRDefault="007D34AB" w:rsidP="004461E0">
            <w:pPr>
              <w:rPr>
                <w:b/>
              </w:rPr>
            </w:pPr>
          </w:p>
        </w:tc>
        <w:tc>
          <w:tcPr>
            <w:tcW w:w="2452" w:type="dxa"/>
          </w:tcPr>
          <w:p w14:paraId="0B6728CF" w14:textId="19BA63A8" w:rsidR="007D34AB" w:rsidRDefault="00A27B8D" w:rsidP="004461E0">
            <w:r>
              <w:t>07 3327 9500</w:t>
            </w:r>
          </w:p>
        </w:tc>
        <w:tc>
          <w:tcPr>
            <w:tcW w:w="1825" w:type="dxa"/>
          </w:tcPr>
          <w:p w14:paraId="0F954BB1" w14:textId="77777777" w:rsidR="007D34AB" w:rsidRPr="007D34AB" w:rsidRDefault="007D34AB" w:rsidP="004461E0">
            <w:pPr>
              <w:rPr>
                <w:b/>
              </w:rPr>
            </w:pPr>
            <w:r w:rsidRPr="007D34AB">
              <w:rPr>
                <w:b/>
              </w:rPr>
              <w:t>Contact Email</w:t>
            </w:r>
          </w:p>
        </w:tc>
        <w:tc>
          <w:tcPr>
            <w:tcW w:w="3379" w:type="dxa"/>
          </w:tcPr>
          <w:p w14:paraId="6D858B82" w14:textId="33950911" w:rsidR="007D34AB" w:rsidRDefault="00A27B8D" w:rsidP="004461E0">
            <w:r>
              <w:t>dbarnes@ttmgroup.com.au</w:t>
            </w:r>
          </w:p>
        </w:tc>
      </w:tr>
      <w:tr w:rsidR="004461E0" w14:paraId="18BE3FD9" w14:textId="77777777" w:rsidTr="004461E0">
        <w:trPr>
          <w:jc w:val="center"/>
        </w:trPr>
        <w:tc>
          <w:tcPr>
            <w:tcW w:w="1696" w:type="dxa"/>
          </w:tcPr>
          <w:p w14:paraId="0E07B4CA" w14:textId="77777777" w:rsidR="004461E0" w:rsidRPr="00695562" w:rsidRDefault="004461E0" w:rsidP="004461E0">
            <w:pPr>
              <w:rPr>
                <w:b/>
              </w:rPr>
            </w:pPr>
            <w:r w:rsidRPr="00695562">
              <w:rPr>
                <w:b/>
              </w:rPr>
              <w:t>Postal Address</w:t>
            </w:r>
          </w:p>
        </w:tc>
        <w:tc>
          <w:tcPr>
            <w:tcW w:w="7656" w:type="dxa"/>
            <w:gridSpan w:val="3"/>
          </w:tcPr>
          <w:p w14:paraId="58AF622D" w14:textId="02EF86B8" w:rsidR="00170159" w:rsidRDefault="00A27B8D" w:rsidP="004461E0">
            <w:r>
              <w:t>PO Box 12015, Brisbane Qld 4003</w:t>
            </w:r>
          </w:p>
          <w:p w14:paraId="5B564C69" w14:textId="77777777" w:rsidR="00170159" w:rsidRDefault="00170159" w:rsidP="004461E0"/>
        </w:tc>
      </w:tr>
      <w:tr w:rsidR="004461E0" w14:paraId="017324B3" w14:textId="77777777" w:rsidTr="004461E0">
        <w:trPr>
          <w:jc w:val="center"/>
        </w:trPr>
        <w:tc>
          <w:tcPr>
            <w:tcW w:w="1696" w:type="dxa"/>
          </w:tcPr>
          <w:p w14:paraId="55A42A4B" w14:textId="77777777" w:rsidR="004461E0" w:rsidRPr="00695562" w:rsidRDefault="004461E0" w:rsidP="004461E0">
            <w:pPr>
              <w:rPr>
                <w:b/>
              </w:rPr>
            </w:pPr>
            <w:r w:rsidRPr="00695562">
              <w:rPr>
                <w:b/>
              </w:rPr>
              <w:t>Business Status</w:t>
            </w:r>
          </w:p>
        </w:tc>
        <w:tc>
          <w:tcPr>
            <w:tcW w:w="7656" w:type="dxa"/>
            <w:gridSpan w:val="3"/>
          </w:tcPr>
          <w:p w14:paraId="15F75D82" w14:textId="036356C4" w:rsidR="004461E0" w:rsidRDefault="004461E0" w:rsidP="004461E0">
            <w:pPr>
              <w:pStyle w:val="TableParagraph"/>
              <w:spacing w:before="0"/>
              <w:ind w:left="0"/>
              <w:rPr>
                <w:spacing w:val="-2"/>
                <w:sz w:val="20"/>
              </w:rPr>
            </w:pPr>
            <w:r>
              <w:rPr>
                <w:rFonts w:ascii="Wingdings 2" w:hAnsi="Wingdings 2"/>
                <w:sz w:val="20"/>
              </w:rPr>
              <w:t></w:t>
            </w:r>
            <w:r>
              <w:rPr>
                <w:rFonts w:ascii="Times New Roman" w:hAnsi="Times New Roman"/>
                <w:spacing w:val="-8"/>
                <w:sz w:val="20"/>
              </w:rPr>
              <w:t xml:space="preserve"> </w:t>
            </w:r>
            <w:r>
              <w:rPr>
                <w:sz w:val="20"/>
              </w:rPr>
              <w:t>Individual</w:t>
            </w:r>
            <w:r>
              <w:rPr>
                <w:spacing w:val="-4"/>
                <w:sz w:val="20"/>
              </w:rPr>
              <w:t xml:space="preserve"> </w:t>
            </w:r>
            <w:r>
              <w:rPr>
                <w:sz w:val="20"/>
              </w:rPr>
              <w:t>consultant</w:t>
            </w:r>
            <w:r>
              <w:rPr>
                <w:spacing w:val="-3"/>
                <w:sz w:val="20"/>
              </w:rPr>
              <w:t xml:space="preserve"> </w:t>
            </w:r>
            <w:r w:rsidR="00A27B8D">
              <w:rPr>
                <w:spacing w:val="-3"/>
                <w:sz w:val="20"/>
              </w:rPr>
              <w:t>x</w:t>
            </w:r>
            <w:r>
              <w:rPr>
                <w:rFonts w:ascii="Times New Roman" w:hAnsi="Times New Roman"/>
                <w:spacing w:val="-8"/>
                <w:sz w:val="20"/>
              </w:rPr>
              <w:t xml:space="preserve"> </w:t>
            </w:r>
            <w:r>
              <w:rPr>
                <w:sz w:val="20"/>
              </w:rPr>
              <w:t>Consultancy</w:t>
            </w:r>
            <w:r>
              <w:rPr>
                <w:spacing w:val="-4"/>
                <w:sz w:val="20"/>
              </w:rPr>
              <w:t xml:space="preserve"> </w:t>
            </w:r>
            <w:r>
              <w:rPr>
                <w:sz w:val="20"/>
              </w:rPr>
              <w:t>firm</w:t>
            </w:r>
            <w:r>
              <w:rPr>
                <w:spacing w:val="-4"/>
                <w:sz w:val="20"/>
              </w:rPr>
              <w:t xml:space="preserve"> </w:t>
            </w:r>
            <w:r>
              <w:rPr>
                <w:rFonts w:ascii="Wingdings 2" w:hAnsi="Wingdings 2"/>
                <w:sz w:val="20"/>
              </w:rPr>
              <w:t></w:t>
            </w:r>
            <w:r>
              <w:rPr>
                <w:rFonts w:ascii="Times New Roman" w:hAnsi="Times New Roman"/>
                <w:spacing w:val="-9"/>
                <w:sz w:val="20"/>
              </w:rPr>
              <w:t xml:space="preserve"> </w:t>
            </w:r>
            <w:r>
              <w:rPr>
                <w:sz w:val="20"/>
              </w:rPr>
              <w:t>Association/group</w:t>
            </w:r>
            <w:r>
              <w:rPr>
                <w:spacing w:val="-4"/>
                <w:sz w:val="20"/>
              </w:rPr>
              <w:t xml:space="preserve"> </w:t>
            </w:r>
            <w:r>
              <w:rPr>
                <w:sz w:val="20"/>
              </w:rPr>
              <w:t>of</w:t>
            </w:r>
            <w:r>
              <w:rPr>
                <w:spacing w:val="-4"/>
                <w:sz w:val="20"/>
              </w:rPr>
              <w:t xml:space="preserve"> </w:t>
            </w:r>
            <w:r>
              <w:rPr>
                <w:sz w:val="20"/>
              </w:rPr>
              <w:t>individual</w:t>
            </w:r>
            <w:r>
              <w:rPr>
                <w:spacing w:val="-4"/>
                <w:sz w:val="20"/>
              </w:rPr>
              <w:t xml:space="preserve"> </w:t>
            </w:r>
            <w:r>
              <w:rPr>
                <w:spacing w:val="-2"/>
                <w:sz w:val="20"/>
              </w:rPr>
              <w:t>consultants</w:t>
            </w:r>
          </w:p>
          <w:p w14:paraId="4DCB0B09" w14:textId="77777777" w:rsidR="00170159" w:rsidRDefault="00170159" w:rsidP="004461E0">
            <w:pPr>
              <w:pStyle w:val="TableParagraph"/>
              <w:spacing w:before="0"/>
              <w:ind w:left="0"/>
              <w:rPr>
                <w:sz w:val="20"/>
              </w:rPr>
            </w:pPr>
          </w:p>
        </w:tc>
      </w:tr>
    </w:tbl>
    <w:p w14:paraId="3953A4FE" w14:textId="77777777" w:rsidR="004461E0" w:rsidRDefault="00170159" w:rsidP="004461E0">
      <w:pPr>
        <w:spacing w:after="0"/>
      </w:pPr>
      <w:r>
        <w:rPr>
          <w:noProof/>
          <w:lang w:eastAsia="en-AU"/>
        </w:rPr>
        <w:drawing>
          <wp:anchor distT="0" distB="0" distL="114300" distR="114300" simplePos="0" relativeHeight="251658240" behindDoc="1" locked="0" layoutInCell="1" allowOverlap="1" wp14:anchorId="0DEA17B9" wp14:editId="689CBACB">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7215" behindDoc="1" locked="0" layoutInCell="1" allowOverlap="1" wp14:anchorId="5FB6EC7D" wp14:editId="079B6316">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123498B4" w14:textId="77777777" w:rsidTr="006236C0">
        <w:trPr>
          <w:jc w:val="center"/>
        </w:trPr>
        <w:tc>
          <w:tcPr>
            <w:tcW w:w="9352" w:type="dxa"/>
            <w:gridSpan w:val="3"/>
          </w:tcPr>
          <w:p w14:paraId="58ED866E" w14:textId="77777777" w:rsidR="004461E0" w:rsidRPr="00695562" w:rsidRDefault="004461E0" w:rsidP="004461E0">
            <w:pPr>
              <w:rPr>
                <w:b/>
              </w:rPr>
            </w:pPr>
            <w:r w:rsidRPr="00695562">
              <w:rPr>
                <w:b/>
              </w:rPr>
              <w:t>Introduction Summary</w:t>
            </w:r>
          </w:p>
          <w:p w14:paraId="349B5BBE" w14:textId="77777777" w:rsidR="001A4089" w:rsidRPr="001A4089" w:rsidRDefault="001A4089" w:rsidP="004461E0">
            <w:pPr>
              <w:rPr>
                <w:rFonts w:cstheme="minorHAnsi"/>
                <w:color w:val="3A4651"/>
                <w:shd w:val="clear" w:color="auto" w:fill="FFFFFF"/>
              </w:rPr>
            </w:pPr>
            <w:r w:rsidRPr="001A4089">
              <w:rPr>
                <w:rFonts w:cstheme="minorHAnsi"/>
                <w:color w:val="3A4651"/>
                <w:shd w:val="clear" w:color="auto" w:fill="FFFFFF"/>
              </w:rPr>
              <w:t xml:space="preserve">TTM is </w:t>
            </w:r>
            <w:r w:rsidRPr="001A4089">
              <w:rPr>
                <w:rFonts w:cstheme="minorHAnsi"/>
                <w:color w:val="3A4651"/>
                <w:shd w:val="clear" w:color="auto" w:fill="FFFFFF"/>
              </w:rPr>
              <w:t xml:space="preserve">Australia’s leading traffic engineers for developers and architects. </w:t>
            </w:r>
          </w:p>
          <w:p w14:paraId="7C30AD42" w14:textId="77777777" w:rsidR="001A4089" w:rsidRPr="001A4089" w:rsidRDefault="001A4089" w:rsidP="004461E0">
            <w:pPr>
              <w:rPr>
                <w:rFonts w:cstheme="minorHAnsi"/>
                <w:color w:val="3A4651"/>
                <w:shd w:val="clear" w:color="auto" w:fill="FFFFFF"/>
              </w:rPr>
            </w:pPr>
          </w:p>
          <w:p w14:paraId="5F1049BB" w14:textId="77777777" w:rsidR="001A4089" w:rsidRPr="001A4089" w:rsidRDefault="001A4089" w:rsidP="004461E0">
            <w:pPr>
              <w:rPr>
                <w:rFonts w:cstheme="minorHAnsi"/>
                <w:color w:val="3A4651"/>
                <w:shd w:val="clear" w:color="auto" w:fill="FFFFFF"/>
              </w:rPr>
            </w:pPr>
            <w:r w:rsidRPr="001A4089">
              <w:rPr>
                <w:rFonts w:cstheme="minorHAnsi"/>
                <w:color w:val="3A4651"/>
                <w:shd w:val="clear" w:color="auto" w:fill="FFFFFF"/>
              </w:rPr>
              <w:t xml:space="preserve">Our team has been responsible for traffic planning and design of some of Australia’s largest development and infrastructure projects. </w:t>
            </w:r>
          </w:p>
          <w:p w14:paraId="2B83C954" w14:textId="77777777" w:rsidR="001A4089" w:rsidRPr="001A4089" w:rsidRDefault="001A4089" w:rsidP="004461E0">
            <w:pPr>
              <w:rPr>
                <w:rFonts w:cstheme="minorHAnsi"/>
                <w:color w:val="3A4651"/>
                <w:shd w:val="clear" w:color="auto" w:fill="FFFFFF"/>
              </w:rPr>
            </w:pPr>
          </w:p>
          <w:p w14:paraId="21BCF072" w14:textId="77777777" w:rsidR="001A4089" w:rsidRPr="001A4089" w:rsidRDefault="001A4089" w:rsidP="004461E0">
            <w:pPr>
              <w:rPr>
                <w:rFonts w:cstheme="minorHAnsi"/>
                <w:color w:val="3A4651"/>
                <w:shd w:val="clear" w:color="auto" w:fill="FFFFFF"/>
              </w:rPr>
            </w:pPr>
            <w:r w:rsidRPr="001A4089">
              <w:rPr>
                <w:rFonts w:cstheme="minorHAnsi"/>
                <w:color w:val="3A4651"/>
                <w:shd w:val="clear" w:color="auto" w:fill="FFFFFF"/>
              </w:rPr>
              <w:t xml:space="preserve">We have the tools and skill-sets to deliver on projects of any scale and complexity. </w:t>
            </w:r>
          </w:p>
          <w:p w14:paraId="6F946252" w14:textId="77777777" w:rsidR="001A4089" w:rsidRPr="001A4089" w:rsidRDefault="001A4089" w:rsidP="004461E0">
            <w:pPr>
              <w:rPr>
                <w:rFonts w:cstheme="minorHAnsi"/>
                <w:color w:val="3A4651"/>
                <w:shd w:val="clear" w:color="auto" w:fill="FFFFFF"/>
              </w:rPr>
            </w:pPr>
          </w:p>
          <w:p w14:paraId="7619C6CC" w14:textId="77777777" w:rsidR="001A4089" w:rsidRPr="001A4089" w:rsidRDefault="001A4089" w:rsidP="004461E0">
            <w:pPr>
              <w:rPr>
                <w:rFonts w:cstheme="minorHAnsi"/>
                <w:color w:val="3A4651"/>
                <w:shd w:val="clear" w:color="auto" w:fill="FFFFFF"/>
              </w:rPr>
            </w:pPr>
            <w:r w:rsidRPr="001A4089">
              <w:rPr>
                <w:rFonts w:cstheme="minorHAnsi"/>
                <w:color w:val="3A4651"/>
                <w:shd w:val="clear" w:color="auto" w:fill="FFFFFF"/>
              </w:rPr>
              <w:t xml:space="preserve">We work with you throughout the entire process to provide practical advice – from due diligence, to planning, design, construction and completion of your project. This is pivotal to successful project delivery. </w:t>
            </w:r>
          </w:p>
          <w:p w14:paraId="6E25A1AC" w14:textId="77777777" w:rsidR="001A4089" w:rsidRPr="001A4089" w:rsidRDefault="001A4089" w:rsidP="004461E0">
            <w:pPr>
              <w:rPr>
                <w:rFonts w:cstheme="minorHAnsi"/>
                <w:color w:val="3A4651"/>
                <w:shd w:val="clear" w:color="auto" w:fill="FFFFFF"/>
              </w:rPr>
            </w:pPr>
          </w:p>
          <w:p w14:paraId="2B4B0D51" w14:textId="55EC87E1" w:rsidR="004461E0" w:rsidRPr="001A4089" w:rsidRDefault="001A4089" w:rsidP="004461E0">
            <w:pPr>
              <w:rPr>
                <w:rFonts w:cstheme="minorHAnsi"/>
              </w:rPr>
            </w:pPr>
            <w:r w:rsidRPr="001A4089">
              <w:rPr>
                <w:rFonts w:cstheme="minorHAnsi"/>
                <w:color w:val="3A4651"/>
                <w:shd w:val="clear" w:color="auto" w:fill="FFFFFF"/>
              </w:rPr>
              <w:t>Our strong relationships with key contacts at all levels of government and the development sector are a distinct advantage in negotiating a favourable outcome for you.</w:t>
            </w:r>
          </w:p>
          <w:p w14:paraId="794AB0B8" w14:textId="77777777" w:rsidR="006236C0" w:rsidRDefault="006236C0" w:rsidP="004461E0"/>
          <w:p w14:paraId="4E9A5826" w14:textId="77777777" w:rsidR="004461E0" w:rsidRDefault="004461E0" w:rsidP="004461E0"/>
        </w:tc>
      </w:tr>
      <w:tr w:rsidR="004461E0" w14:paraId="27FFE848" w14:textId="77777777" w:rsidTr="006236C0">
        <w:trPr>
          <w:jc w:val="center"/>
        </w:trPr>
        <w:tc>
          <w:tcPr>
            <w:tcW w:w="9352" w:type="dxa"/>
            <w:gridSpan w:val="3"/>
          </w:tcPr>
          <w:p w14:paraId="06D2DE47" w14:textId="77777777" w:rsidR="004461E0" w:rsidRPr="006236C0" w:rsidRDefault="003A07AC" w:rsidP="004461E0">
            <w:pPr>
              <w:rPr>
                <w:b/>
                <w:i/>
              </w:rPr>
            </w:pPr>
            <w:r w:rsidRPr="006236C0">
              <w:rPr>
                <w:b/>
                <w:i/>
              </w:rPr>
              <w:t xml:space="preserve">Sector Knowledge </w:t>
            </w:r>
          </w:p>
          <w:p w14:paraId="781FED10" w14:textId="77777777" w:rsidR="001A4089" w:rsidRDefault="001A4089" w:rsidP="004461E0">
            <w:pPr>
              <w:rPr>
                <w:rFonts w:cstheme="minorHAnsi"/>
                <w:color w:val="3A4651"/>
                <w:shd w:val="clear" w:color="auto" w:fill="FFFFFF"/>
              </w:rPr>
            </w:pPr>
            <w:r w:rsidRPr="001A4089">
              <w:rPr>
                <w:rFonts w:cstheme="minorHAnsi"/>
                <w:color w:val="3A4651"/>
                <w:shd w:val="clear" w:color="auto" w:fill="FFFFFF"/>
              </w:rPr>
              <w:t xml:space="preserve">TTM have extensive experience in the Property Development Stream. Specifically, TTM has provided traffic, waste and acoustic advice across a number of social and affordable housing projects including undertaking traffic engineering reviews of carparking provisions, configurations and on site servicing arrangements. </w:t>
            </w:r>
          </w:p>
          <w:p w14:paraId="6F82E63C" w14:textId="77777777" w:rsidR="001A4089" w:rsidRDefault="001A4089" w:rsidP="004461E0">
            <w:pPr>
              <w:rPr>
                <w:rFonts w:cstheme="minorHAnsi"/>
                <w:color w:val="3A4651"/>
                <w:shd w:val="clear" w:color="auto" w:fill="FFFFFF"/>
              </w:rPr>
            </w:pPr>
          </w:p>
          <w:p w14:paraId="62A5F5B3" w14:textId="7BD68395" w:rsidR="003A07AC" w:rsidRPr="001A4089" w:rsidRDefault="001A4089" w:rsidP="004461E0">
            <w:pPr>
              <w:rPr>
                <w:rFonts w:cstheme="minorHAnsi"/>
              </w:rPr>
            </w:pPr>
            <w:r w:rsidRPr="001A4089">
              <w:rPr>
                <w:rFonts w:cstheme="minorHAnsi"/>
                <w:color w:val="3A4651"/>
                <w:shd w:val="clear" w:color="auto" w:fill="FFFFFF"/>
              </w:rPr>
              <w:t>TTM has also assisted Brisbane Housing Corporation (BHC) to undertake a carparking demand and carpark occupancy study of their housing sites to better understand their operational demands and carpark utilisations. This review included on site counts and review of BHC collected tenant surveys to create a better picture around vehicle ownership and parking demands for various unit / dwelling types.</w:t>
            </w:r>
          </w:p>
          <w:p w14:paraId="1ED68D85" w14:textId="77777777" w:rsidR="006236C0" w:rsidRDefault="006236C0" w:rsidP="004461E0"/>
        </w:tc>
      </w:tr>
      <w:tr w:rsidR="003A07AC" w14:paraId="72C7A218"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1F7ED824" w14:textId="77777777" w:rsidR="003A07AC" w:rsidRPr="003A07AC" w:rsidRDefault="003A07AC" w:rsidP="003A07AC">
            <w:pPr>
              <w:jc w:val="center"/>
              <w:rPr>
                <w:b/>
              </w:rPr>
            </w:pPr>
            <w:r w:rsidRPr="003A07AC">
              <w:rPr>
                <w:b/>
              </w:rPr>
              <w:t>Skills</w:t>
            </w:r>
          </w:p>
        </w:tc>
        <w:tc>
          <w:tcPr>
            <w:tcW w:w="1223" w:type="dxa"/>
            <w:tcBorders>
              <w:top w:val="single" w:sz="4" w:space="0" w:color="auto"/>
              <w:left w:val="single" w:sz="4" w:space="0" w:color="auto"/>
              <w:bottom w:val="single" w:sz="4" w:space="0" w:color="auto"/>
              <w:right w:val="single" w:sz="4" w:space="0" w:color="auto"/>
            </w:tcBorders>
          </w:tcPr>
          <w:p w14:paraId="6036A994"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2C147E11"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skills </w:t>
            </w:r>
          </w:p>
          <w:p w14:paraId="293509D9" w14:textId="77777777" w:rsidR="003A07AC" w:rsidRPr="003A07AC" w:rsidRDefault="003A07AC" w:rsidP="003A07AC">
            <w:pPr>
              <w:jc w:val="center"/>
              <w:rPr>
                <w:b/>
              </w:rPr>
            </w:pPr>
            <w:r w:rsidRPr="003A07AC">
              <w:rPr>
                <w:b/>
              </w:rPr>
              <w:t>and consulting track record</w:t>
            </w:r>
          </w:p>
        </w:tc>
      </w:tr>
      <w:tr w:rsidR="003A07AC" w14:paraId="309456F5" w14:textId="77777777" w:rsidTr="00170159">
        <w:tblPrEx>
          <w:jc w:val="left"/>
        </w:tblPrEx>
        <w:tc>
          <w:tcPr>
            <w:tcW w:w="1455" w:type="dxa"/>
            <w:tcBorders>
              <w:top w:val="single" w:sz="4" w:space="0" w:color="auto"/>
            </w:tcBorders>
          </w:tcPr>
          <w:p w14:paraId="6FA271DF" w14:textId="77777777" w:rsidR="003A07AC" w:rsidRPr="003A07AC" w:rsidRDefault="003A07AC" w:rsidP="003A07AC">
            <w:pPr>
              <w:rPr>
                <w:b/>
              </w:rPr>
            </w:pPr>
            <w:r w:rsidRPr="003A07AC">
              <w:rPr>
                <w:b/>
              </w:rPr>
              <w:t>Finance</w:t>
            </w:r>
          </w:p>
        </w:tc>
        <w:tc>
          <w:tcPr>
            <w:tcW w:w="1223" w:type="dxa"/>
            <w:tcBorders>
              <w:top w:val="single" w:sz="4" w:space="0" w:color="auto"/>
            </w:tcBorders>
          </w:tcPr>
          <w:p w14:paraId="45F75B4B"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3D7619A6"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Borders>
              <w:top w:val="single" w:sz="4" w:space="0" w:color="auto"/>
            </w:tcBorders>
          </w:tcPr>
          <w:p w14:paraId="76C2C121" w14:textId="77777777" w:rsidR="003A07AC" w:rsidRDefault="003A07AC" w:rsidP="003A07AC"/>
          <w:p w14:paraId="2878084D" w14:textId="77777777" w:rsidR="00170159" w:rsidRDefault="00170159" w:rsidP="003A07AC"/>
          <w:p w14:paraId="1FE32873" w14:textId="77777777" w:rsidR="00170159" w:rsidRDefault="00170159" w:rsidP="003A07AC"/>
          <w:p w14:paraId="68937946" w14:textId="77777777" w:rsidR="007D34AB" w:rsidRDefault="007D34AB" w:rsidP="003A07AC"/>
          <w:p w14:paraId="7CA066CA" w14:textId="77777777" w:rsidR="00170159" w:rsidRDefault="00170159" w:rsidP="003A07AC"/>
        </w:tc>
      </w:tr>
      <w:tr w:rsidR="003A07AC" w14:paraId="3F8A784A" w14:textId="77777777" w:rsidTr="00170159">
        <w:tblPrEx>
          <w:jc w:val="left"/>
        </w:tblPrEx>
        <w:tc>
          <w:tcPr>
            <w:tcW w:w="1455" w:type="dxa"/>
          </w:tcPr>
          <w:p w14:paraId="45D8CD58" w14:textId="77777777" w:rsidR="003A07AC" w:rsidRPr="003A07AC" w:rsidRDefault="003A07AC" w:rsidP="003A07AC">
            <w:pPr>
              <w:rPr>
                <w:b/>
              </w:rPr>
            </w:pPr>
            <w:r w:rsidRPr="003A07AC">
              <w:rPr>
                <w:b/>
              </w:rPr>
              <w:lastRenderedPageBreak/>
              <w:t xml:space="preserve">Business </w:t>
            </w:r>
          </w:p>
          <w:p w14:paraId="294A88BB" w14:textId="77777777" w:rsidR="003A07AC" w:rsidRPr="003A07AC" w:rsidRDefault="003A07AC" w:rsidP="003A07AC">
            <w:pPr>
              <w:rPr>
                <w:b/>
              </w:rPr>
            </w:pPr>
            <w:r w:rsidRPr="003A07AC">
              <w:rPr>
                <w:b/>
              </w:rPr>
              <w:t>Planning</w:t>
            </w:r>
          </w:p>
        </w:tc>
        <w:tc>
          <w:tcPr>
            <w:tcW w:w="1223" w:type="dxa"/>
          </w:tcPr>
          <w:p w14:paraId="2B6C26A8"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6F13C1C3"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63FD41A9" w14:textId="77777777" w:rsidR="003A07AC" w:rsidRDefault="003A07AC" w:rsidP="003A07AC"/>
          <w:p w14:paraId="05CCD8EC" w14:textId="77777777" w:rsidR="006236C0" w:rsidRDefault="006236C0" w:rsidP="003A07AC"/>
          <w:p w14:paraId="1EAA9820" w14:textId="77777777" w:rsidR="00170159" w:rsidRDefault="00170159" w:rsidP="003A07AC"/>
          <w:p w14:paraId="119AB48E" w14:textId="77777777" w:rsidR="007D34AB" w:rsidRDefault="007D34AB" w:rsidP="003A07AC"/>
          <w:p w14:paraId="770D7683" w14:textId="77777777" w:rsidR="007D34AB" w:rsidRDefault="007D34AB" w:rsidP="003A07AC"/>
          <w:p w14:paraId="5A887201" w14:textId="77777777" w:rsidR="006236C0" w:rsidRDefault="006236C0" w:rsidP="003A07AC"/>
        </w:tc>
      </w:tr>
      <w:tr w:rsidR="003A07AC" w14:paraId="53CD9352" w14:textId="77777777" w:rsidTr="00170159">
        <w:tblPrEx>
          <w:jc w:val="left"/>
        </w:tblPrEx>
        <w:tc>
          <w:tcPr>
            <w:tcW w:w="1455" w:type="dxa"/>
          </w:tcPr>
          <w:p w14:paraId="3E358640" w14:textId="77777777" w:rsidR="003A07AC" w:rsidRPr="003A07AC" w:rsidRDefault="003A07AC" w:rsidP="003A07AC">
            <w:pPr>
              <w:rPr>
                <w:b/>
              </w:rPr>
            </w:pPr>
            <w:r w:rsidRPr="003A07AC">
              <w:rPr>
                <w:b/>
              </w:rPr>
              <w:t xml:space="preserve">Property </w:t>
            </w:r>
          </w:p>
          <w:p w14:paraId="266C1726" w14:textId="77777777" w:rsidR="003A07AC" w:rsidRPr="003A07AC" w:rsidRDefault="003A07AC" w:rsidP="003A07AC">
            <w:pPr>
              <w:rPr>
                <w:b/>
              </w:rPr>
            </w:pPr>
            <w:r w:rsidRPr="003A07AC">
              <w:rPr>
                <w:b/>
              </w:rPr>
              <w:t>Development</w:t>
            </w:r>
          </w:p>
        </w:tc>
        <w:tc>
          <w:tcPr>
            <w:tcW w:w="1223" w:type="dxa"/>
          </w:tcPr>
          <w:p w14:paraId="1BC0D4BD"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4FAE1886" w14:textId="10E621EC" w:rsidR="003A07AC" w:rsidRDefault="003A07AC" w:rsidP="00A27B8D">
            <w:pPr>
              <w:pStyle w:val="TableParagraph"/>
              <w:tabs>
                <w:tab w:val="left" w:pos="283"/>
              </w:tabs>
              <w:spacing w:before="44" w:line="280" w:lineRule="auto"/>
              <w:ind w:left="58" w:right="460"/>
              <w:rPr>
                <w:sz w:val="20"/>
              </w:rPr>
            </w:pPr>
          </w:p>
        </w:tc>
        <w:tc>
          <w:tcPr>
            <w:tcW w:w="6674" w:type="dxa"/>
          </w:tcPr>
          <w:p w14:paraId="64EF998E" w14:textId="77777777" w:rsidR="003A07AC" w:rsidRDefault="003A07AC" w:rsidP="003A07AC"/>
          <w:p w14:paraId="56E2C45C" w14:textId="77777777" w:rsidR="006236C0" w:rsidRDefault="006236C0" w:rsidP="003A07AC"/>
          <w:p w14:paraId="5493ED37" w14:textId="77777777" w:rsidR="00170159" w:rsidRDefault="00170159" w:rsidP="003A07AC"/>
          <w:p w14:paraId="4A00311E" w14:textId="77777777" w:rsidR="007D34AB" w:rsidRDefault="007D34AB" w:rsidP="003A07AC"/>
          <w:p w14:paraId="04693973" w14:textId="77777777" w:rsidR="006236C0" w:rsidRDefault="006236C0" w:rsidP="003A07AC"/>
        </w:tc>
      </w:tr>
      <w:tr w:rsidR="003A07AC" w14:paraId="291DCDC8" w14:textId="77777777" w:rsidTr="00170159">
        <w:tblPrEx>
          <w:jc w:val="left"/>
        </w:tblPrEx>
        <w:tc>
          <w:tcPr>
            <w:tcW w:w="1455" w:type="dxa"/>
          </w:tcPr>
          <w:p w14:paraId="10998084" w14:textId="77777777" w:rsidR="003A07AC" w:rsidRPr="003A07AC" w:rsidRDefault="003A07AC" w:rsidP="003A07AC">
            <w:pPr>
              <w:rPr>
                <w:b/>
              </w:rPr>
            </w:pPr>
            <w:r w:rsidRPr="003A07AC">
              <w:rPr>
                <w:b/>
              </w:rPr>
              <w:t xml:space="preserve">Risk </w:t>
            </w:r>
          </w:p>
          <w:p w14:paraId="6BE4059E" w14:textId="77777777" w:rsidR="003A07AC" w:rsidRPr="003A07AC" w:rsidRDefault="003A07AC" w:rsidP="003A07AC">
            <w:pPr>
              <w:rPr>
                <w:b/>
              </w:rPr>
            </w:pPr>
            <w:r w:rsidRPr="003A07AC">
              <w:rPr>
                <w:b/>
              </w:rPr>
              <w:t>Management</w:t>
            </w:r>
          </w:p>
        </w:tc>
        <w:tc>
          <w:tcPr>
            <w:tcW w:w="1223" w:type="dxa"/>
          </w:tcPr>
          <w:p w14:paraId="25B86B0C"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2EEF6D86"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32497011" w14:textId="77777777" w:rsidR="00170159" w:rsidRDefault="00170159" w:rsidP="003A07AC"/>
          <w:p w14:paraId="465D1378" w14:textId="77777777" w:rsidR="00170159" w:rsidRDefault="00170159" w:rsidP="003A07AC"/>
          <w:p w14:paraId="7BC0AD85" w14:textId="77777777" w:rsidR="007D34AB" w:rsidRDefault="007D34AB" w:rsidP="003A07AC"/>
          <w:p w14:paraId="29CDB9BC" w14:textId="77777777" w:rsidR="00170159" w:rsidRDefault="00170159" w:rsidP="003A07AC"/>
          <w:p w14:paraId="545B22DC" w14:textId="77777777" w:rsidR="006236C0" w:rsidRDefault="006236C0" w:rsidP="003A07AC"/>
          <w:p w14:paraId="4755294A" w14:textId="77777777" w:rsidR="006236C0" w:rsidRDefault="006236C0" w:rsidP="003A07AC"/>
        </w:tc>
      </w:tr>
    </w:tbl>
    <w:p w14:paraId="776C3996" w14:textId="77777777" w:rsidR="004461E0" w:rsidRPr="000A7228" w:rsidRDefault="00680E2B" w:rsidP="000A7228">
      <w:pPr>
        <w:spacing w:after="0"/>
        <w:rPr>
          <w:sz w:val="4"/>
        </w:rPr>
      </w:pPr>
      <w:r w:rsidRPr="00021BA7">
        <w:rPr>
          <w:noProof/>
          <w:lang w:eastAsia="en-AU"/>
        </w:rPr>
        <w:drawing>
          <wp:anchor distT="0" distB="0" distL="114300" distR="114300" simplePos="0" relativeHeight="251662336" behindDoc="1" locked="0" layoutInCell="1" allowOverlap="1" wp14:anchorId="6F34F724" wp14:editId="5DFA0A1A">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60288" behindDoc="1" locked="0" layoutInCell="1" allowOverlap="1" wp14:anchorId="5C62622F" wp14:editId="455D7DA4">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3307" w14:textId="77777777" w:rsidR="00587DF3" w:rsidRDefault="00587DF3" w:rsidP="004461E0">
      <w:pPr>
        <w:spacing w:after="0" w:line="240" w:lineRule="auto"/>
      </w:pPr>
      <w:r>
        <w:separator/>
      </w:r>
    </w:p>
  </w:endnote>
  <w:endnote w:type="continuationSeparator" w:id="0">
    <w:p w14:paraId="4E3D9063" w14:textId="77777777" w:rsidR="00587DF3" w:rsidRDefault="00587DF3"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EFCC" w14:textId="77777777" w:rsidR="00587DF3" w:rsidRDefault="00587DF3" w:rsidP="004461E0">
      <w:pPr>
        <w:spacing w:after="0" w:line="240" w:lineRule="auto"/>
      </w:pPr>
      <w:r>
        <w:separator/>
      </w:r>
    </w:p>
  </w:footnote>
  <w:footnote w:type="continuationSeparator" w:id="0">
    <w:p w14:paraId="59ECB674" w14:textId="77777777" w:rsidR="00587DF3" w:rsidRDefault="00587DF3"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A8D9"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125FD6C1" wp14:editId="01BE641D">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15FB8DB6"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7"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9"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0"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234512771">
    <w:abstractNumId w:val="0"/>
  </w:num>
  <w:num w:numId="2" w16cid:durableId="432483645">
    <w:abstractNumId w:val="0"/>
  </w:num>
  <w:num w:numId="3" w16cid:durableId="1610315357">
    <w:abstractNumId w:val="4"/>
  </w:num>
  <w:num w:numId="4" w16cid:durableId="853421181">
    <w:abstractNumId w:val="10"/>
  </w:num>
  <w:num w:numId="5" w16cid:durableId="2088265716">
    <w:abstractNumId w:val="12"/>
  </w:num>
  <w:num w:numId="6" w16cid:durableId="679621033">
    <w:abstractNumId w:val="12"/>
  </w:num>
  <w:num w:numId="7" w16cid:durableId="1416123395">
    <w:abstractNumId w:val="12"/>
  </w:num>
  <w:num w:numId="8" w16cid:durableId="200746866">
    <w:abstractNumId w:val="7"/>
  </w:num>
  <w:num w:numId="9" w16cid:durableId="1315601435">
    <w:abstractNumId w:val="11"/>
  </w:num>
  <w:num w:numId="10" w16cid:durableId="203833837">
    <w:abstractNumId w:val="2"/>
  </w:num>
  <w:num w:numId="11" w16cid:durableId="1569611501">
    <w:abstractNumId w:val="5"/>
  </w:num>
  <w:num w:numId="12" w16cid:durableId="321348686">
    <w:abstractNumId w:val="3"/>
  </w:num>
  <w:num w:numId="13" w16cid:durableId="1810055793">
    <w:abstractNumId w:val="6"/>
  </w:num>
  <w:num w:numId="14" w16cid:durableId="1274628907">
    <w:abstractNumId w:val="1"/>
  </w:num>
  <w:num w:numId="15" w16cid:durableId="2078899306">
    <w:abstractNumId w:val="9"/>
  </w:num>
  <w:num w:numId="16" w16cid:durableId="2045789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21BA7"/>
    <w:rsid w:val="00047F58"/>
    <w:rsid w:val="000A7228"/>
    <w:rsid w:val="00170159"/>
    <w:rsid w:val="001A4089"/>
    <w:rsid w:val="003A07AC"/>
    <w:rsid w:val="004461E0"/>
    <w:rsid w:val="004A2572"/>
    <w:rsid w:val="005669DE"/>
    <w:rsid w:val="00587DF3"/>
    <w:rsid w:val="006236C0"/>
    <w:rsid w:val="00680E2B"/>
    <w:rsid w:val="00695562"/>
    <w:rsid w:val="00704637"/>
    <w:rsid w:val="007D34AB"/>
    <w:rsid w:val="00960406"/>
    <w:rsid w:val="00A16CB3"/>
    <w:rsid w:val="00A27B8D"/>
    <w:rsid w:val="00CA4CD0"/>
    <w:rsid w:val="00DD03FD"/>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7FEB"/>
  <w15:chartTrackingRefBased/>
  <w15:docId w15:val="{70E6A6C3-F094-48A6-9375-C54668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DF37A7D553644AFF9CF543F32885D" ma:contentTypeVersion="4" ma:contentTypeDescription="Create a new document." ma:contentTypeScope="" ma:versionID="85f29a7ff369ec7086becab4e7f2aee3">
  <xsd:schema xmlns:xsd="http://www.w3.org/2001/XMLSchema" xmlns:xs="http://www.w3.org/2001/XMLSchema" xmlns:p="http://schemas.microsoft.com/office/2006/metadata/properties" xmlns:ns2="ac4c0079-5cb3-464c-8429-d2ed506a7cdf" targetNamespace="http://schemas.microsoft.com/office/2006/metadata/properties" ma:root="true" ma:fieldsID="bfb046c56e31ce7d7d6f5523092c1737" ns2:_="">
    <xsd:import namespace="ac4c0079-5cb3-464c-8429-d2ed506a7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c0079-5cb3-464c-8429-d2ed506a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92252-69CB-43BD-BA8F-53326363EA2C}">
  <ds:schemaRefs>
    <ds:schemaRef ds:uri="http://schemas.microsoft.com/sharepoint/v3/contenttype/forms"/>
  </ds:schemaRefs>
</ds:datastoreItem>
</file>

<file path=customXml/itemProps2.xml><?xml version="1.0" encoding="utf-8"?>
<ds:datastoreItem xmlns:ds="http://schemas.openxmlformats.org/officeDocument/2006/customXml" ds:itemID="{979AF30D-9C49-4AFD-9107-4DC2C5F27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69DED-40CA-47B5-A192-6FDF902466C5}"/>
</file>

<file path=docProps/app.xml><?xml version="1.0" encoding="utf-8"?>
<Properties xmlns="http://schemas.openxmlformats.org/officeDocument/2006/extended-properties" xmlns:vt="http://schemas.openxmlformats.org/officeDocument/2006/docPropsVTypes">
  <Template>Normal</Template>
  <TotalTime>96</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David Barnes</cp:lastModifiedBy>
  <cp:revision>3</cp:revision>
  <cp:lastPrinted>2023-05-26T02:10:00Z</cp:lastPrinted>
  <dcterms:created xsi:type="dcterms:W3CDTF">2024-02-13T04:08:00Z</dcterms:created>
  <dcterms:modified xsi:type="dcterms:W3CDTF">2024-02-15T01:12:00Z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0x0101007C3DF37A7D553644AFF9CF543F32885D</vt:lpwstr>
  </property>
</Properties>
</file>