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2" w:type="dxa"/>
        <w:jc w:val="center"/>
        <w:tblLook w:val="04A0" w:firstRow="1" w:lastRow="0" w:firstColumn="1" w:lastColumn="0" w:noHBand="0" w:noVBand="1"/>
      </w:tblPr>
      <w:tblGrid>
        <w:gridCol w:w="1696"/>
        <w:gridCol w:w="2452"/>
        <w:gridCol w:w="1825"/>
        <w:gridCol w:w="3379"/>
      </w:tblGrid>
      <w:tr w:rsidR="004461E0" w14:paraId="599F866B" w14:textId="77777777" w:rsidTr="004461E0">
        <w:trPr>
          <w:jc w:val="center"/>
        </w:trPr>
        <w:tc>
          <w:tcPr>
            <w:tcW w:w="1696" w:type="dxa"/>
          </w:tcPr>
          <w:p w14:paraId="4AEDF0A6"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2535DE28" w14:textId="77777777" w:rsidR="00170159" w:rsidRDefault="00170159" w:rsidP="004461E0"/>
          <w:p w14:paraId="1E9873CF" w14:textId="53F8A4AA" w:rsidR="00170159" w:rsidRDefault="00003AB3" w:rsidP="004461E0">
            <w:proofErr w:type="spellStart"/>
            <w:r>
              <w:t>StudioTHI</w:t>
            </w:r>
            <w:proofErr w:type="spellEnd"/>
          </w:p>
        </w:tc>
      </w:tr>
      <w:tr w:rsidR="007D34AB" w14:paraId="5095DD25" w14:textId="77777777" w:rsidTr="004461E0">
        <w:trPr>
          <w:jc w:val="center"/>
        </w:trPr>
        <w:tc>
          <w:tcPr>
            <w:tcW w:w="1696" w:type="dxa"/>
          </w:tcPr>
          <w:p w14:paraId="57F495E1" w14:textId="77777777" w:rsidR="007D34AB" w:rsidRDefault="007D34AB" w:rsidP="004461E0">
            <w:pPr>
              <w:rPr>
                <w:b/>
              </w:rPr>
            </w:pPr>
            <w:r>
              <w:rPr>
                <w:b/>
              </w:rPr>
              <w:t xml:space="preserve">Contact Name </w:t>
            </w:r>
          </w:p>
          <w:p w14:paraId="5D26BEDD" w14:textId="77777777" w:rsidR="007D34AB" w:rsidRPr="00695562" w:rsidRDefault="007D34AB" w:rsidP="004461E0">
            <w:pPr>
              <w:rPr>
                <w:b/>
              </w:rPr>
            </w:pPr>
          </w:p>
        </w:tc>
        <w:tc>
          <w:tcPr>
            <w:tcW w:w="7656" w:type="dxa"/>
            <w:gridSpan w:val="3"/>
          </w:tcPr>
          <w:p w14:paraId="3275143B" w14:textId="2D9985E9" w:rsidR="007D34AB" w:rsidRDefault="00003AB3" w:rsidP="004461E0">
            <w:r>
              <w:t>Jennifer Michelmore</w:t>
            </w:r>
            <w:r w:rsidR="001F79A8">
              <w:t xml:space="preserve"> and Peter Browning</w:t>
            </w:r>
          </w:p>
        </w:tc>
      </w:tr>
      <w:tr w:rsidR="007D34AB" w14:paraId="2391FE21" w14:textId="77777777" w:rsidTr="007D34AB">
        <w:trPr>
          <w:jc w:val="center"/>
        </w:trPr>
        <w:tc>
          <w:tcPr>
            <w:tcW w:w="1696" w:type="dxa"/>
          </w:tcPr>
          <w:p w14:paraId="2051B9BF" w14:textId="77777777" w:rsidR="007D34AB" w:rsidRDefault="007D34AB" w:rsidP="004461E0">
            <w:pPr>
              <w:rPr>
                <w:b/>
              </w:rPr>
            </w:pPr>
            <w:r>
              <w:rPr>
                <w:b/>
              </w:rPr>
              <w:t xml:space="preserve">Contact Phone </w:t>
            </w:r>
          </w:p>
          <w:p w14:paraId="7A4F9E0A" w14:textId="77777777" w:rsidR="007D34AB" w:rsidRPr="00695562" w:rsidRDefault="007D34AB" w:rsidP="004461E0">
            <w:pPr>
              <w:rPr>
                <w:b/>
              </w:rPr>
            </w:pPr>
          </w:p>
        </w:tc>
        <w:tc>
          <w:tcPr>
            <w:tcW w:w="2452" w:type="dxa"/>
          </w:tcPr>
          <w:p w14:paraId="5B6ED4AD" w14:textId="66D4249F" w:rsidR="007D34AB" w:rsidRDefault="00003AB3" w:rsidP="004461E0">
            <w:r>
              <w:t>0408199471</w:t>
            </w:r>
          </w:p>
        </w:tc>
        <w:tc>
          <w:tcPr>
            <w:tcW w:w="1825" w:type="dxa"/>
          </w:tcPr>
          <w:p w14:paraId="45E1D22E" w14:textId="77777777" w:rsidR="007D34AB" w:rsidRPr="007D34AB" w:rsidRDefault="007D34AB" w:rsidP="004461E0">
            <w:pPr>
              <w:rPr>
                <w:b/>
              </w:rPr>
            </w:pPr>
            <w:r w:rsidRPr="007D34AB">
              <w:rPr>
                <w:b/>
              </w:rPr>
              <w:t>Contact Email</w:t>
            </w:r>
          </w:p>
        </w:tc>
        <w:tc>
          <w:tcPr>
            <w:tcW w:w="3379" w:type="dxa"/>
          </w:tcPr>
          <w:p w14:paraId="034906AE" w14:textId="6B7EF5E8" w:rsidR="007D34AB" w:rsidRDefault="00003AB3" w:rsidP="004461E0">
            <w:r>
              <w:t>jennifer@studiothi.com</w:t>
            </w:r>
          </w:p>
        </w:tc>
      </w:tr>
      <w:tr w:rsidR="004461E0" w14:paraId="538ADF50" w14:textId="77777777" w:rsidTr="004461E0">
        <w:trPr>
          <w:jc w:val="center"/>
        </w:trPr>
        <w:tc>
          <w:tcPr>
            <w:tcW w:w="1696" w:type="dxa"/>
          </w:tcPr>
          <w:p w14:paraId="32CF0551" w14:textId="77777777" w:rsidR="004461E0" w:rsidRPr="00695562" w:rsidRDefault="004461E0" w:rsidP="004461E0">
            <w:pPr>
              <w:rPr>
                <w:b/>
              </w:rPr>
            </w:pPr>
            <w:r w:rsidRPr="00695562">
              <w:rPr>
                <w:b/>
              </w:rPr>
              <w:t>Postal Address</w:t>
            </w:r>
          </w:p>
        </w:tc>
        <w:tc>
          <w:tcPr>
            <w:tcW w:w="7656" w:type="dxa"/>
            <w:gridSpan w:val="3"/>
          </w:tcPr>
          <w:p w14:paraId="4B0BD04A" w14:textId="18F73ED5" w:rsidR="00170159" w:rsidRDefault="00003AB3" w:rsidP="004461E0">
            <w:r>
              <w:rPr>
                <w:rFonts w:ascii="Lato" w:hAnsi="Lato"/>
                <w:color w:val="333333"/>
                <w:shd w:val="clear" w:color="auto" w:fill="FFFFFF"/>
              </w:rPr>
              <w:t>Levels 1-3 TC Beirne Building</w:t>
            </w:r>
            <w:r>
              <w:rPr>
                <w:rFonts w:ascii="Lato" w:hAnsi="Lato"/>
                <w:color w:val="333333"/>
              </w:rPr>
              <w:br/>
            </w:r>
            <w:r>
              <w:rPr>
                <w:rFonts w:ascii="Lato" w:hAnsi="Lato"/>
                <w:color w:val="333333"/>
                <w:shd w:val="clear" w:color="auto" w:fill="FFFFFF"/>
              </w:rPr>
              <w:t>Level 1 Burlington Building (adjoining)</w:t>
            </w:r>
            <w:r>
              <w:rPr>
                <w:rFonts w:ascii="Lato" w:hAnsi="Lato"/>
                <w:color w:val="333333"/>
              </w:rPr>
              <w:br/>
            </w:r>
            <w:r>
              <w:rPr>
                <w:rFonts w:ascii="Lato" w:hAnsi="Lato"/>
                <w:color w:val="333333"/>
                <w:shd w:val="clear" w:color="auto" w:fill="FFFFFF"/>
              </w:rPr>
              <w:t>315 Brunswick Street</w:t>
            </w:r>
            <w:r>
              <w:rPr>
                <w:rFonts w:ascii="Lato" w:hAnsi="Lato"/>
                <w:color w:val="333333"/>
              </w:rPr>
              <w:br/>
            </w:r>
            <w:r>
              <w:rPr>
                <w:rFonts w:ascii="Lato" w:hAnsi="Lato"/>
                <w:color w:val="333333"/>
                <w:shd w:val="clear" w:color="auto" w:fill="FFFFFF"/>
              </w:rPr>
              <w:t>Fortitude Valley</w:t>
            </w:r>
          </w:p>
          <w:p w14:paraId="1F4274E3" w14:textId="77777777" w:rsidR="00170159" w:rsidRDefault="00170159" w:rsidP="004461E0"/>
        </w:tc>
      </w:tr>
      <w:tr w:rsidR="004461E0" w14:paraId="6C15B10E" w14:textId="77777777" w:rsidTr="004461E0">
        <w:trPr>
          <w:jc w:val="center"/>
        </w:trPr>
        <w:tc>
          <w:tcPr>
            <w:tcW w:w="1696" w:type="dxa"/>
          </w:tcPr>
          <w:p w14:paraId="11A5D868" w14:textId="77777777" w:rsidR="004461E0" w:rsidRPr="00695562" w:rsidRDefault="004461E0" w:rsidP="004461E0">
            <w:pPr>
              <w:rPr>
                <w:b/>
              </w:rPr>
            </w:pPr>
            <w:r w:rsidRPr="00695562">
              <w:rPr>
                <w:b/>
              </w:rPr>
              <w:t>Business Status</w:t>
            </w:r>
          </w:p>
        </w:tc>
        <w:tc>
          <w:tcPr>
            <w:tcW w:w="7656" w:type="dxa"/>
            <w:gridSpan w:val="3"/>
          </w:tcPr>
          <w:p w14:paraId="226BC72E" w14:textId="77777777" w:rsidR="004461E0" w:rsidRDefault="004461E0" w:rsidP="004461E0">
            <w:pPr>
              <w:pStyle w:val="TableParagraph"/>
              <w:spacing w:before="0"/>
              <w:ind w:left="0"/>
              <w:rPr>
                <w:spacing w:val="-2"/>
                <w:sz w:val="20"/>
              </w:rPr>
            </w:pPr>
            <w:r>
              <w:rPr>
                <w:rFonts w:ascii="Wingdings 2" w:hAnsi="Wingdings 2"/>
                <w:sz w:val="20"/>
              </w:rPr>
              <w:t></w:t>
            </w:r>
            <w:r>
              <w:rPr>
                <w:rFonts w:ascii="Times New Roman" w:hAnsi="Times New Roman"/>
                <w:spacing w:val="-8"/>
                <w:sz w:val="20"/>
              </w:rPr>
              <w:t xml:space="preserve"> </w:t>
            </w:r>
            <w:r>
              <w:rPr>
                <w:sz w:val="20"/>
              </w:rPr>
              <w:t>Individual</w:t>
            </w:r>
            <w:r>
              <w:rPr>
                <w:spacing w:val="-4"/>
                <w:sz w:val="20"/>
              </w:rPr>
              <w:t xml:space="preserve"> </w:t>
            </w:r>
            <w:r>
              <w:rPr>
                <w:sz w:val="20"/>
              </w:rPr>
              <w:t>consultant</w:t>
            </w:r>
            <w:r>
              <w:rPr>
                <w:spacing w:val="-3"/>
                <w:sz w:val="20"/>
              </w:rPr>
              <w:t xml:space="preserve"> </w:t>
            </w:r>
            <w:r>
              <w:rPr>
                <w:rFonts w:ascii="Wingdings 2" w:hAnsi="Wingdings 2"/>
                <w:sz w:val="20"/>
              </w:rPr>
              <w:t></w:t>
            </w:r>
            <w:r>
              <w:rPr>
                <w:rFonts w:ascii="Times New Roman" w:hAnsi="Times New Roman"/>
                <w:spacing w:val="-8"/>
                <w:sz w:val="20"/>
              </w:rPr>
              <w:t xml:space="preserve"> </w:t>
            </w:r>
            <w:r>
              <w:rPr>
                <w:sz w:val="20"/>
              </w:rPr>
              <w:t>Consultancy</w:t>
            </w:r>
            <w:r>
              <w:rPr>
                <w:spacing w:val="-4"/>
                <w:sz w:val="20"/>
              </w:rPr>
              <w:t xml:space="preserve"> </w:t>
            </w:r>
            <w:r>
              <w:rPr>
                <w:sz w:val="20"/>
              </w:rPr>
              <w:t>firm</w:t>
            </w:r>
            <w:r>
              <w:rPr>
                <w:spacing w:val="-4"/>
                <w:sz w:val="20"/>
              </w:rPr>
              <w:t xml:space="preserve"> </w:t>
            </w:r>
            <w:r>
              <w:rPr>
                <w:rFonts w:ascii="Wingdings 2" w:hAnsi="Wingdings 2"/>
                <w:sz w:val="20"/>
              </w:rPr>
              <w:t></w:t>
            </w:r>
            <w:r>
              <w:rPr>
                <w:rFonts w:ascii="Times New Roman" w:hAnsi="Times New Roman"/>
                <w:spacing w:val="-9"/>
                <w:sz w:val="20"/>
              </w:rPr>
              <w:t xml:space="preserve"> </w:t>
            </w:r>
            <w:r>
              <w:rPr>
                <w:sz w:val="20"/>
              </w:rPr>
              <w:t>Association/group</w:t>
            </w:r>
            <w:r>
              <w:rPr>
                <w:spacing w:val="-4"/>
                <w:sz w:val="20"/>
              </w:rPr>
              <w:t xml:space="preserve"> </w:t>
            </w:r>
            <w:r>
              <w:rPr>
                <w:sz w:val="20"/>
              </w:rPr>
              <w:t>of</w:t>
            </w:r>
            <w:r>
              <w:rPr>
                <w:spacing w:val="-4"/>
                <w:sz w:val="20"/>
              </w:rPr>
              <w:t xml:space="preserve"> </w:t>
            </w:r>
            <w:r>
              <w:rPr>
                <w:sz w:val="20"/>
              </w:rPr>
              <w:t>individual</w:t>
            </w:r>
            <w:r>
              <w:rPr>
                <w:spacing w:val="-4"/>
                <w:sz w:val="20"/>
              </w:rPr>
              <w:t xml:space="preserve"> </w:t>
            </w:r>
            <w:r>
              <w:rPr>
                <w:spacing w:val="-2"/>
                <w:sz w:val="20"/>
              </w:rPr>
              <w:t>consultants</w:t>
            </w:r>
          </w:p>
          <w:p w14:paraId="1BC4E86F" w14:textId="28643C18" w:rsidR="00170159" w:rsidRPr="00003AB3" w:rsidRDefault="00003AB3" w:rsidP="004461E0">
            <w:pPr>
              <w:pStyle w:val="TableParagraph"/>
              <w:spacing w:before="0"/>
              <w:ind w:left="0"/>
              <w:rPr>
                <w:b/>
                <w:bCs/>
                <w:sz w:val="20"/>
              </w:rPr>
            </w:pPr>
            <w:r w:rsidRPr="00003AB3">
              <w:rPr>
                <w:b/>
                <w:bCs/>
                <w:sz w:val="20"/>
              </w:rPr>
              <w:t>Not for Profit Consultancy</w:t>
            </w:r>
          </w:p>
        </w:tc>
      </w:tr>
    </w:tbl>
    <w:p w14:paraId="173651E9" w14:textId="77777777" w:rsidR="004461E0" w:rsidRDefault="00170159" w:rsidP="004461E0">
      <w:pPr>
        <w:spacing w:after="0"/>
      </w:pPr>
      <w:r>
        <w:rPr>
          <w:noProof/>
          <w:lang w:eastAsia="en-AU"/>
        </w:rPr>
        <w:drawing>
          <wp:anchor distT="0" distB="0" distL="114300" distR="114300" simplePos="0" relativeHeight="251658240" behindDoc="1" locked="0" layoutInCell="1" allowOverlap="1" wp14:anchorId="078C95F0" wp14:editId="3760DC39">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7215" behindDoc="1" locked="0" layoutInCell="1" allowOverlap="1" wp14:anchorId="19ED4DDA" wp14:editId="3FD06130">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41A40E04" w14:textId="77777777" w:rsidTr="006236C0">
        <w:trPr>
          <w:jc w:val="center"/>
        </w:trPr>
        <w:tc>
          <w:tcPr>
            <w:tcW w:w="9352" w:type="dxa"/>
            <w:gridSpan w:val="3"/>
          </w:tcPr>
          <w:p w14:paraId="19F119CF" w14:textId="77777777" w:rsidR="004461E0" w:rsidRDefault="004461E0" w:rsidP="004461E0">
            <w:pPr>
              <w:rPr>
                <w:b/>
              </w:rPr>
            </w:pPr>
            <w:r w:rsidRPr="00695562">
              <w:rPr>
                <w:b/>
              </w:rPr>
              <w:t>Introduction Summary</w:t>
            </w:r>
          </w:p>
          <w:p w14:paraId="14C76CC2" w14:textId="2E75ECA1" w:rsidR="004461E0" w:rsidRDefault="00003AB3" w:rsidP="004E5F49">
            <w:proofErr w:type="spellStart"/>
            <w:r>
              <w:t>StudioTHI</w:t>
            </w:r>
            <w:proofErr w:type="spellEnd"/>
            <w:r>
              <w:t xml:space="preserve"> is a not for profit urban and community development consulting service. The purpose of the agency is to support </w:t>
            </w:r>
            <w:r w:rsidR="004E5F49">
              <w:t xml:space="preserve">social benefit and </w:t>
            </w:r>
            <w:r>
              <w:t xml:space="preserve">innovation in the urban development sector. </w:t>
            </w:r>
          </w:p>
        </w:tc>
      </w:tr>
      <w:tr w:rsidR="004461E0" w14:paraId="51464027" w14:textId="77777777" w:rsidTr="006236C0">
        <w:trPr>
          <w:jc w:val="center"/>
        </w:trPr>
        <w:tc>
          <w:tcPr>
            <w:tcW w:w="9352" w:type="dxa"/>
            <w:gridSpan w:val="3"/>
          </w:tcPr>
          <w:p w14:paraId="4DBA8A7E" w14:textId="77777777" w:rsidR="004461E0" w:rsidRPr="006236C0" w:rsidRDefault="003A07AC" w:rsidP="004461E0">
            <w:pPr>
              <w:rPr>
                <w:b/>
                <w:i/>
              </w:rPr>
            </w:pPr>
            <w:r w:rsidRPr="006236C0">
              <w:rPr>
                <w:b/>
                <w:i/>
              </w:rPr>
              <w:t xml:space="preserve">Sector Knowledge </w:t>
            </w:r>
          </w:p>
          <w:p w14:paraId="2B9B9E9B" w14:textId="3B42AAD1" w:rsidR="006236C0" w:rsidRDefault="004E5F49" w:rsidP="004E5F49">
            <w:r>
              <w:t xml:space="preserve">We are over 20 years old and specialise in assisting major and often complex urban development projects to establish a viable vision for development, strategic plan for delivery, and community development initiatives. We also support agencies to plan and lead urban and community change and transition.  </w:t>
            </w:r>
          </w:p>
          <w:p w14:paraId="0C20616D" w14:textId="77777777" w:rsidR="006236C0" w:rsidRDefault="006236C0" w:rsidP="004461E0"/>
        </w:tc>
      </w:tr>
      <w:tr w:rsidR="003A07AC" w14:paraId="533C22FC"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0F1802CB" w14:textId="77777777" w:rsidR="003A07AC" w:rsidRPr="003A07AC" w:rsidRDefault="003A07AC" w:rsidP="003A07AC">
            <w:pPr>
              <w:jc w:val="center"/>
              <w:rPr>
                <w:b/>
              </w:rPr>
            </w:pPr>
            <w:r w:rsidRPr="003A07AC">
              <w:rPr>
                <w:b/>
              </w:rPr>
              <w:t>Skills</w:t>
            </w:r>
          </w:p>
        </w:tc>
        <w:tc>
          <w:tcPr>
            <w:tcW w:w="1223" w:type="dxa"/>
            <w:tcBorders>
              <w:top w:val="single" w:sz="4" w:space="0" w:color="auto"/>
              <w:left w:val="single" w:sz="4" w:space="0" w:color="auto"/>
              <w:bottom w:val="single" w:sz="4" w:space="0" w:color="auto"/>
              <w:right w:val="single" w:sz="4" w:space="0" w:color="auto"/>
            </w:tcBorders>
          </w:tcPr>
          <w:p w14:paraId="272FEB6E"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7467B1F3"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skills </w:t>
            </w:r>
          </w:p>
          <w:p w14:paraId="4922B30F" w14:textId="77777777" w:rsidR="003A07AC" w:rsidRPr="003A07AC" w:rsidRDefault="003A07AC" w:rsidP="003A07AC">
            <w:pPr>
              <w:jc w:val="center"/>
              <w:rPr>
                <w:b/>
              </w:rPr>
            </w:pPr>
            <w:r w:rsidRPr="003A07AC">
              <w:rPr>
                <w:b/>
              </w:rPr>
              <w:t>and consulting track record</w:t>
            </w:r>
          </w:p>
        </w:tc>
      </w:tr>
      <w:tr w:rsidR="003A07AC" w14:paraId="086A7514" w14:textId="77777777" w:rsidTr="00170159">
        <w:tblPrEx>
          <w:jc w:val="left"/>
        </w:tblPrEx>
        <w:tc>
          <w:tcPr>
            <w:tcW w:w="1455" w:type="dxa"/>
            <w:tcBorders>
              <w:top w:val="single" w:sz="4" w:space="0" w:color="auto"/>
            </w:tcBorders>
          </w:tcPr>
          <w:p w14:paraId="451703E6" w14:textId="77777777" w:rsidR="003A07AC" w:rsidRPr="003A07AC" w:rsidRDefault="003A07AC" w:rsidP="003A07AC">
            <w:pPr>
              <w:rPr>
                <w:b/>
              </w:rPr>
            </w:pPr>
            <w:r w:rsidRPr="003A07AC">
              <w:rPr>
                <w:b/>
              </w:rPr>
              <w:t>Finance</w:t>
            </w:r>
          </w:p>
        </w:tc>
        <w:tc>
          <w:tcPr>
            <w:tcW w:w="1223" w:type="dxa"/>
            <w:tcBorders>
              <w:top w:val="single" w:sz="4" w:space="0" w:color="auto"/>
            </w:tcBorders>
          </w:tcPr>
          <w:p w14:paraId="1EFD6D0B"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7B4CF457"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Borders>
              <w:top w:val="single" w:sz="4" w:space="0" w:color="auto"/>
            </w:tcBorders>
          </w:tcPr>
          <w:p w14:paraId="5246BA65" w14:textId="77777777" w:rsidR="003A07AC" w:rsidRDefault="003A07AC" w:rsidP="003A07AC"/>
          <w:p w14:paraId="2235E3A2" w14:textId="460D32AC" w:rsidR="00170159" w:rsidRDefault="007A6390" w:rsidP="007A6390">
            <w:r>
              <w:t xml:space="preserve">Property feasibility studies is not our technical area of expertise. We understand the requirements of development finance modelling. </w:t>
            </w:r>
          </w:p>
        </w:tc>
      </w:tr>
      <w:tr w:rsidR="003A07AC" w14:paraId="763C7826" w14:textId="77777777" w:rsidTr="00170159">
        <w:tblPrEx>
          <w:jc w:val="left"/>
        </w:tblPrEx>
        <w:tc>
          <w:tcPr>
            <w:tcW w:w="1455" w:type="dxa"/>
          </w:tcPr>
          <w:p w14:paraId="771A2EB8" w14:textId="77777777" w:rsidR="003A07AC" w:rsidRPr="003A07AC" w:rsidRDefault="003A07AC" w:rsidP="003A07AC">
            <w:pPr>
              <w:rPr>
                <w:b/>
              </w:rPr>
            </w:pPr>
            <w:r w:rsidRPr="003A07AC">
              <w:rPr>
                <w:b/>
              </w:rPr>
              <w:t xml:space="preserve">Business </w:t>
            </w:r>
          </w:p>
          <w:p w14:paraId="427F3A5C" w14:textId="77777777" w:rsidR="003A07AC" w:rsidRPr="003A07AC" w:rsidRDefault="003A07AC" w:rsidP="003A07AC">
            <w:pPr>
              <w:rPr>
                <w:b/>
              </w:rPr>
            </w:pPr>
            <w:r w:rsidRPr="003A07AC">
              <w:rPr>
                <w:b/>
              </w:rPr>
              <w:t>Planning</w:t>
            </w:r>
          </w:p>
        </w:tc>
        <w:tc>
          <w:tcPr>
            <w:tcW w:w="1223" w:type="dxa"/>
          </w:tcPr>
          <w:p w14:paraId="25EEBC75"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52C09098"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255A0F0D" w14:textId="77777777" w:rsidR="007D34AB" w:rsidRDefault="007D34AB" w:rsidP="003A07AC"/>
          <w:p w14:paraId="6B47E748" w14:textId="5E175231" w:rsidR="007A6390" w:rsidRDefault="007A6390" w:rsidP="007A6390">
            <w:r>
              <w:t>We have a background in how to create community and the value of community. Property development is often selling community. This requires understanding who is their now, who is coming, the target , how can development create opportunity for existing and future residents and what is required to support / attract them. This informs business planning and determining which factors are important to invest in and can impact staging of development along with the integration of community facilities and programs to increase value</w:t>
            </w:r>
          </w:p>
          <w:p w14:paraId="0B003A9F" w14:textId="3868E5C8" w:rsidR="007D34AB" w:rsidRDefault="007D34AB" w:rsidP="003A07AC"/>
          <w:p w14:paraId="22D59186" w14:textId="77777777" w:rsidR="006236C0" w:rsidRDefault="006236C0" w:rsidP="003A07AC"/>
        </w:tc>
      </w:tr>
      <w:tr w:rsidR="003A07AC" w14:paraId="3726E3F5" w14:textId="77777777" w:rsidTr="00170159">
        <w:tblPrEx>
          <w:jc w:val="left"/>
        </w:tblPrEx>
        <w:tc>
          <w:tcPr>
            <w:tcW w:w="1455" w:type="dxa"/>
          </w:tcPr>
          <w:p w14:paraId="08DA4C09" w14:textId="77777777" w:rsidR="003A07AC" w:rsidRPr="003A07AC" w:rsidRDefault="003A07AC" w:rsidP="003A07AC">
            <w:pPr>
              <w:rPr>
                <w:b/>
              </w:rPr>
            </w:pPr>
            <w:r w:rsidRPr="003A07AC">
              <w:rPr>
                <w:b/>
              </w:rPr>
              <w:t xml:space="preserve">Property </w:t>
            </w:r>
          </w:p>
          <w:p w14:paraId="39A39D0F" w14:textId="77777777" w:rsidR="003A07AC" w:rsidRPr="003A07AC" w:rsidRDefault="003A07AC" w:rsidP="003A07AC">
            <w:pPr>
              <w:rPr>
                <w:b/>
              </w:rPr>
            </w:pPr>
            <w:r w:rsidRPr="003A07AC">
              <w:rPr>
                <w:b/>
              </w:rPr>
              <w:t>Development</w:t>
            </w:r>
          </w:p>
        </w:tc>
        <w:tc>
          <w:tcPr>
            <w:tcW w:w="1223" w:type="dxa"/>
          </w:tcPr>
          <w:p w14:paraId="54CD0D3C"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598186E5"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5920DFB3" w14:textId="77777777" w:rsidR="003A07AC" w:rsidRDefault="003A07AC" w:rsidP="003A07AC"/>
          <w:p w14:paraId="247F9ACE" w14:textId="192F6E08" w:rsidR="007D34AB" w:rsidRDefault="004E5F49" w:rsidP="00D8408C">
            <w:r>
              <w:t>Yes</w:t>
            </w:r>
            <w:r w:rsidR="007A6390">
              <w:t xml:space="preserve">: </w:t>
            </w:r>
            <w:proofErr w:type="spellStart"/>
            <w:r w:rsidR="007A6390">
              <w:t>StudioTHI</w:t>
            </w:r>
            <w:proofErr w:type="spellEnd"/>
            <w:r w:rsidR="007A6390">
              <w:t xml:space="preserve"> has over 20 years of experience advising on major urban development projects in Australia and overseas. This includes private, government and community sectors. It includes co-design with current and future community of a development vision and formulation of an integrated strategy for delivery that includes market / audience analysis; community and economic development strategy, urban and </w:t>
            </w:r>
            <w:r w:rsidR="007A6390">
              <w:lastRenderedPageBreak/>
              <w:t xml:space="preserve">building design, planning requirements, program and marketing, place management and leadership, community consultation, change and transition capability.  Places in SEQ you may be  aware of include North Lakes,  Kelvin Grove Urban Village; Carseldine Urban Village; Howard Smith Wharves, RNA Showgrounds, Aura and Yarrabilba. </w:t>
            </w:r>
          </w:p>
          <w:p w14:paraId="702CC029" w14:textId="77777777" w:rsidR="001F79A8" w:rsidRDefault="001F79A8" w:rsidP="00D8408C"/>
          <w:p w14:paraId="215530A6" w14:textId="3D1F3F39" w:rsidR="001F79A8" w:rsidRDefault="001F79A8" w:rsidP="00D8408C">
            <w:r>
              <w:t xml:space="preserve">Peter has over 40 </w:t>
            </w:r>
            <w:proofErr w:type="spellStart"/>
            <w:r>
              <w:t>years experience</w:t>
            </w:r>
            <w:proofErr w:type="spellEnd"/>
            <w:r>
              <w:t xml:space="preserve"> in community and economic development, qualifications in social work and has led a range of major projects. Jennifer has qualification in design and is CEO of </w:t>
            </w:r>
            <w:proofErr w:type="spellStart"/>
            <w:r>
              <w:t>StudioTHI</w:t>
            </w:r>
            <w:proofErr w:type="spellEnd"/>
            <w:r>
              <w:t xml:space="preserve"> now working with a range of mostly Councils across Australia to assist them to progress more equitable and sustainable urban development.</w:t>
            </w:r>
          </w:p>
          <w:p w14:paraId="4E629625" w14:textId="77777777" w:rsidR="006236C0" w:rsidRDefault="006236C0" w:rsidP="003A07AC"/>
        </w:tc>
      </w:tr>
      <w:tr w:rsidR="003A07AC" w14:paraId="6BE9F0D0" w14:textId="77777777" w:rsidTr="00170159">
        <w:tblPrEx>
          <w:jc w:val="left"/>
        </w:tblPrEx>
        <w:tc>
          <w:tcPr>
            <w:tcW w:w="1455" w:type="dxa"/>
          </w:tcPr>
          <w:p w14:paraId="6A03F1A9" w14:textId="77777777" w:rsidR="003A07AC" w:rsidRPr="003A07AC" w:rsidRDefault="003A07AC" w:rsidP="003A07AC">
            <w:pPr>
              <w:rPr>
                <w:b/>
              </w:rPr>
            </w:pPr>
            <w:r w:rsidRPr="003A07AC">
              <w:rPr>
                <w:b/>
              </w:rPr>
              <w:lastRenderedPageBreak/>
              <w:t xml:space="preserve">Risk </w:t>
            </w:r>
          </w:p>
          <w:p w14:paraId="345AE16C" w14:textId="77777777" w:rsidR="003A07AC" w:rsidRPr="003A07AC" w:rsidRDefault="003A07AC" w:rsidP="003A07AC">
            <w:pPr>
              <w:rPr>
                <w:b/>
              </w:rPr>
            </w:pPr>
            <w:r w:rsidRPr="003A07AC">
              <w:rPr>
                <w:b/>
              </w:rPr>
              <w:t>Management</w:t>
            </w:r>
          </w:p>
        </w:tc>
        <w:tc>
          <w:tcPr>
            <w:tcW w:w="1223" w:type="dxa"/>
          </w:tcPr>
          <w:p w14:paraId="1D86BDD5"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552D66CD"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49CD98D2" w14:textId="77777777" w:rsidR="00170159" w:rsidRDefault="00170159" w:rsidP="003A07AC"/>
          <w:p w14:paraId="6F6C7BAA" w14:textId="77777777" w:rsidR="00170159" w:rsidRDefault="00170159" w:rsidP="003A07AC"/>
          <w:p w14:paraId="37E31EFB" w14:textId="7588B908" w:rsidR="006236C0" w:rsidRDefault="004E5F49" w:rsidP="00D8408C">
            <w:r>
              <w:t>Yes</w:t>
            </w:r>
            <w:r w:rsidR="007A6390">
              <w:t xml:space="preserve">. All developments include a level of client, organisational, financial, political and community risk. </w:t>
            </w:r>
            <w:proofErr w:type="spellStart"/>
            <w:r w:rsidR="007A6390">
              <w:t>StudioTHI</w:t>
            </w:r>
            <w:proofErr w:type="spellEnd"/>
            <w:r w:rsidR="007A6390">
              <w:t xml:space="preserve"> have been involved in helping understand, plan and address a range of development risk and conflicts at different stages of development. Examples in SEQ include Kelvin Grove Urban Village and introduction of social housing, this culminated in inclusion of a community development program and revised tenancy strategies for some buildings. Carseldine Urban Village and Save Our Suburb campaign to stop development. </w:t>
            </w:r>
          </w:p>
          <w:p w14:paraId="1F286651" w14:textId="77777777" w:rsidR="006236C0" w:rsidRDefault="006236C0" w:rsidP="003A07AC"/>
        </w:tc>
      </w:tr>
    </w:tbl>
    <w:p w14:paraId="08C84F08" w14:textId="77777777" w:rsidR="004461E0" w:rsidRPr="000A7228" w:rsidRDefault="00680E2B" w:rsidP="000A7228">
      <w:pPr>
        <w:spacing w:after="0"/>
        <w:rPr>
          <w:sz w:val="4"/>
        </w:rPr>
      </w:pPr>
      <w:r w:rsidRPr="00021BA7">
        <w:rPr>
          <w:noProof/>
          <w:lang w:eastAsia="en-AU"/>
        </w:rPr>
        <w:drawing>
          <wp:anchor distT="0" distB="0" distL="114300" distR="114300" simplePos="0" relativeHeight="251662336" behindDoc="1" locked="0" layoutInCell="1" allowOverlap="1" wp14:anchorId="382D42BC" wp14:editId="3B65E709">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60288" behindDoc="1" locked="0" layoutInCell="1" allowOverlap="1" wp14:anchorId="4F5D1BB6" wp14:editId="41FCEDFB">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88FB" w14:textId="77777777" w:rsidR="00865EE7" w:rsidRDefault="00865EE7" w:rsidP="004461E0">
      <w:pPr>
        <w:spacing w:after="0" w:line="240" w:lineRule="auto"/>
      </w:pPr>
      <w:r>
        <w:separator/>
      </w:r>
    </w:p>
  </w:endnote>
  <w:endnote w:type="continuationSeparator" w:id="0">
    <w:p w14:paraId="5EC6F9E8" w14:textId="77777777" w:rsidR="00865EE7" w:rsidRDefault="00865EE7"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B138" w14:textId="77777777" w:rsidR="00865EE7" w:rsidRDefault="00865EE7" w:rsidP="004461E0">
      <w:pPr>
        <w:spacing w:after="0" w:line="240" w:lineRule="auto"/>
      </w:pPr>
      <w:r>
        <w:separator/>
      </w:r>
    </w:p>
  </w:footnote>
  <w:footnote w:type="continuationSeparator" w:id="0">
    <w:p w14:paraId="6DE29BF2" w14:textId="77777777" w:rsidR="00865EE7" w:rsidRDefault="00865EE7"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DD0F"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723D5A2D" wp14:editId="36B95940">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03195AF3"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7"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9"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0"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664020027">
    <w:abstractNumId w:val="0"/>
  </w:num>
  <w:num w:numId="2" w16cid:durableId="137455394">
    <w:abstractNumId w:val="0"/>
  </w:num>
  <w:num w:numId="3" w16cid:durableId="748623753">
    <w:abstractNumId w:val="4"/>
  </w:num>
  <w:num w:numId="4" w16cid:durableId="1719666142">
    <w:abstractNumId w:val="10"/>
  </w:num>
  <w:num w:numId="5" w16cid:durableId="1927762107">
    <w:abstractNumId w:val="12"/>
  </w:num>
  <w:num w:numId="6" w16cid:durableId="1971548934">
    <w:abstractNumId w:val="12"/>
  </w:num>
  <w:num w:numId="7" w16cid:durableId="595215521">
    <w:abstractNumId w:val="12"/>
  </w:num>
  <w:num w:numId="8" w16cid:durableId="764569665">
    <w:abstractNumId w:val="7"/>
  </w:num>
  <w:num w:numId="9" w16cid:durableId="318773238">
    <w:abstractNumId w:val="11"/>
  </w:num>
  <w:num w:numId="10" w16cid:durableId="1942058844">
    <w:abstractNumId w:val="2"/>
  </w:num>
  <w:num w:numId="11" w16cid:durableId="840049570">
    <w:abstractNumId w:val="5"/>
  </w:num>
  <w:num w:numId="12" w16cid:durableId="66853099">
    <w:abstractNumId w:val="3"/>
  </w:num>
  <w:num w:numId="13" w16cid:durableId="1517311551">
    <w:abstractNumId w:val="6"/>
  </w:num>
  <w:num w:numId="14" w16cid:durableId="1120803962">
    <w:abstractNumId w:val="1"/>
  </w:num>
  <w:num w:numId="15" w16cid:durableId="1509519328">
    <w:abstractNumId w:val="9"/>
  </w:num>
  <w:num w:numId="16" w16cid:durableId="38491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03AB3"/>
    <w:rsid w:val="00021BA7"/>
    <w:rsid w:val="00047F58"/>
    <w:rsid w:val="000A7228"/>
    <w:rsid w:val="00170159"/>
    <w:rsid w:val="001F79A8"/>
    <w:rsid w:val="003A07AC"/>
    <w:rsid w:val="00416E8D"/>
    <w:rsid w:val="004461E0"/>
    <w:rsid w:val="004A2572"/>
    <w:rsid w:val="004E5F49"/>
    <w:rsid w:val="005669DE"/>
    <w:rsid w:val="006236C0"/>
    <w:rsid w:val="00680E2B"/>
    <w:rsid w:val="00695562"/>
    <w:rsid w:val="007A6390"/>
    <w:rsid w:val="007D34AB"/>
    <w:rsid w:val="00865EE7"/>
    <w:rsid w:val="00960406"/>
    <w:rsid w:val="00A16CB3"/>
    <w:rsid w:val="00CA4CD0"/>
    <w:rsid w:val="00D16A5C"/>
    <w:rsid w:val="00D8408C"/>
    <w:rsid w:val="00DD03FD"/>
    <w:rsid w:val="00EE5285"/>
    <w:rsid w:val="00F872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6095"/>
  <w15:chartTrackingRefBased/>
  <w15:docId w15:val="{70E6A6C3-F094-48A6-9375-C54668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F37A7D553644AFF9CF543F32885D" ma:contentTypeVersion="0" ma:contentTypeDescription="Create a new document." ma:contentTypeScope="" ma:versionID="eaa6a62df6712445ea6499775498317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AF30D-9C49-4AFD-9107-4DC2C5F27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92252-69CB-43BD-BA8F-53326363EA2C}">
  <ds:schemaRefs>
    <ds:schemaRef ds:uri="http://schemas.microsoft.com/sharepoint/v3/contenttype/forms"/>
  </ds:schemaRefs>
</ds:datastoreItem>
</file>

<file path=customXml/itemProps3.xml><?xml version="1.0" encoding="utf-8"?>
<ds:datastoreItem xmlns:ds="http://schemas.openxmlformats.org/officeDocument/2006/customXml" ds:itemID="{84CA56A8-7283-46A2-82D1-E458DDBB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Peter Browning</cp:lastModifiedBy>
  <cp:revision>5</cp:revision>
  <cp:lastPrinted>2023-05-26T02:10:00Z</cp:lastPrinted>
  <dcterms:created xsi:type="dcterms:W3CDTF">2023-11-06T05:02:00Z</dcterms:created>
  <dcterms:modified xsi:type="dcterms:W3CDTF">2023-11-21T06:24:00Z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0x0101007C3DF37A7D553644AFF9CF543F32885D</vt:lpwstr>
  </property>
</Properties>
</file>